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3gpptitlecitytdocnumber"/>
        <w:outlineLvl w:val="0"/>
        <w:rPr>
          <w:rFonts w:eastAsia="宋体"/>
          <w:lang w:val="en-US" w:eastAsia="zh-CN"/>
        </w:rPr>
      </w:pPr>
      <w:bookmarkStart w:id="0" w:name="OLE_LINK17"/>
      <w:bookmarkStart w:id="1" w:name="OLE_LINK2"/>
      <w:bookmarkStart w:id="2" w:name="_Hlk19781073"/>
      <w:r>
        <w:rPr>
          <w:rFonts w:eastAsia="宋体"/>
          <w:lang w:val="en-US" w:eastAsia="zh-CN"/>
        </w:rPr>
        <w:t>3GPP T</w:t>
      </w:r>
      <w:bookmarkStart w:id="3" w:name="_Ref452454252"/>
      <w:bookmarkEnd w:id="3"/>
      <w:r>
        <w:rPr>
          <w:rFonts w:eastAsia="宋体"/>
          <w:lang w:val="en-US" w:eastAsia="zh-CN"/>
        </w:rPr>
        <w:t>SG-RAN WG3 Meeting #</w:t>
      </w:r>
      <w:r>
        <w:rPr>
          <w:rFonts w:eastAsia="宋体" w:hint="eastAsia"/>
          <w:lang w:val="en-US" w:eastAsia="zh-CN"/>
        </w:rPr>
        <w:t>12</w:t>
      </w:r>
      <w:bookmarkEnd w:id="0"/>
      <w:r>
        <w:rPr>
          <w:rFonts w:eastAsia="宋体"/>
          <w:lang w:val="en-US" w:eastAsia="zh-CN"/>
        </w:rPr>
        <w:t>8</w:t>
      </w:r>
      <w:r>
        <w:rPr>
          <w:rFonts w:eastAsia="宋体"/>
          <w:lang w:val="en-US" w:eastAsia="zh-CN"/>
        </w:rPr>
        <w:tab/>
        <w:t>R3-253054</w:t>
      </w:r>
    </w:p>
    <w:p>
      <w:pPr>
        <w:pStyle w:val="3gpptitlecitytdocnumber"/>
        <w:outlineLvl w:val="0"/>
        <w:rPr>
          <w:rFonts w:eastAsia="宋体"/>
          <w:lang w:val="en-US" w:eastAsia="zh-CN"/>
        </w:rPr>
      </w:pPr>
      <w:bookmarkStart w:id="4" w:name="_Hlk19781143"/>
      <w:r>
        <w:rPr>
          <w:rFonts w:eastAsia="宋体"/>
          <w:lang w:val="en-US" w:eastAsia="zh-CN"/>
        </w:rPr>
        <w:t>Malta, MT</w:t>
      </w:r>
      <w:r>
        <w:rPr>
          <w:rFonts w:eastAsia="宋体" w:hint="eastAsia"/>
          <w:lang w:val="en-US" w:eastAsia="zh-CN"/>
        </w:rPr>
        <w:t xml:space="preserve">, </w:t>
      </w:r>
      <w:r>
        <w:rPr>
          <w:rFonts w:eastAsia="宋体"/>
          <w:lang w:val="en-US" w:eastAsia="zh-CN"/>
        </w:rPr>
        <w:t>19th – 23th May 2025</w:t>
      </w:r>
      <w:bookmarkEnd w:id="1"/>
      <w:bookmarkEnd w:id="2"/>
      <w:bookmarkEnd w:id="4"/>
    </w:p>
    <w:p>
      <w:pPr>
        <w:pStyle w:val="3gpptitlecitytdocnumber"/>
        <w:rPr>
          <w:rFonts w:eastAsia="宋体"/>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lang w:eastAsia="zh-CN"/>
              </w:rPr>
            </w:pPr>
            <w:r>
              <w:rPr>
                <w:i/>
                <w:sz w:val="14"/>
              </w:rPr>
              <w:t>CR-Form-v12.</w:t>
            </w:r>
            <w:r>
              <w:rPr>
                <w:rFonts w:hint="eastAsia"/>
                <w:i/>
                <w:sz w:val="14"/>
                <w:lang w:val="en-US" w:eastAsia="zh-CN"/>
              </w:rPr>
              <w:t>3</w:t>
            </w:r>
          </w:p>
        </w:tc>
      </w:tr>
      <w:tr>
        <w:tc>
          <w:tcPr>
            <w:tcW w:w="9641" w:type="dxa"/>
            <w:gridSpan w:val="9"/>
            <w:tcBorders>
              <w:left w:val="single" w:sz="4" w:space="0" w:color="auto"/>
              <w:right w:val="single" w:sz="4" w:space="0" w:color="auto"/>
            </w:tcBorders>
          </w:tcPr>
          <w:p>
            <w:pPr>
              <w:pStyle w:val="CRCoverPage"/>
              <w:spacing w:after="0"/>
              <w:jc w:val="center"/>
            </w:pPr>
            <w:r>
              <w:rPr>
                <w:b/>
                <w:sz w:val="32"/>
              </w:rPr>
              <w:t>CHANGE REQUEST</w:t>
            </w:r>
          </w:p>
        </w:tc>
      </w:tr>
      <w:tr>
        <w:tc>
          <w:tcPr>
            <w:tcW w:w="9641" w:type="dxa"/>
            <w:gridSpan w:val="9"/>
            <w:tcBorders>
              <w:left w:val="single" w:sz="4" w:space="0" w:color="auto"/>
              <w:right w:val="single" w:sz="4" w:space="0" w:color="auto"/>
            </w:tcBorders>
          </w:tcPr>
          <w:p>
            <w:pPr>
              <w:pStyle w:val="CRCoverPage"/>
              <w:spacing w:after="0"/>
              <w:rPr>
                <w:sz w:val="8"/>
                <w:szCs w:val="8"/>
              </w:rPr>
            </w:pPr>
          </w:p>
        </w:tc>
      </w:tr>
      <w:tr>
        <w:tc>
          <w:tcPr>
            <w:tcW w:w="142" w:type="dxa"/>
            <w:tcBorders>
              <w:left w:val="single" w:sz="4" w:space="0" w:color="auto"/>
            </w:tcBorders>
          </w:tcPr>
          <w:p>
            <w:pPr>
              <w:pStyle w:val="CRCoverPage"/>
              <w:spacing w:after="0"/>
              <w:jc w:val="right"/>
            </w:pPr>
          </w:p>
        </w:tc>
        <w:tc>
          <w:tcPr>
            <w:tcW w:w="1559" w:type="dxa"/>
            <w:shd w:val="pct30" w:color="FFFF00" w:fill="auto"/>
          </w:tcPr>
          <w:p>
            <w:pPr>
              <w:pStyle w:val="CRCoverPage"/>
              <w:spacing w:after="0"/>
              <w:jc w:val="right"/>
              <w:rPr>
                <w:b/>
                <w:sz w:val="28"/>
              </w:rPr>
            </w:pPr>
            <w:r>
              <w:rPr>
                <w:rFonts w:eastAsia="宋体"/>
                <w:b/>
                <w:sz w:val="28"/>
              </w:rPr>
              <w:t>36.300</w:t>
            </w:r>
          </w:p>
        </w:tc>
        <w:tc>
          <w:tcPr>
            <w:tcW w:w="709" w:type="dxa"/>
          </w:tcPr>
          <w:p>
            <w:pPr>
              <w:pStyle w:val="CRCoverPage"/>
              <w:spacing w:after="0"/>
              <w:jc w:val="center"/>
            </w:pPr>
            <w:r>
              <w:rPr>
                <w:b/>
                <w:sz w:val="28"/>
              </w:rPr>
              <w:t>CR</w:t>
            </w:r>
          </w:p>
        </w:tc>
        <w:tc>
          <w:tcPr>
            <w:tcW w:w="1276" w:type="dxa"/>
            <w:shd w:val="pct30" w:color="FFFF00" w:fill="auto"/>
          </w:tcPr>
          <w:p>
            <w:pPr>
              <w:pStyle w:val="CRCoverPage"/>
              <w:spacing w:after="0"/>
              <w:jc w:val="center"/>
              <w:rPr>
                <w:rFonts w:eastAsia="宋体"/>
                <w:b/>
                <w:sz w:val="28"/>
                <w:highlight w:val="cyan"/>
                <w:lang w:eastAsia="zh-CN"/>
              </w:rPr>
            </w:pPr>
            <w:r>
              <w:rPr>
                <w:rFonts w:eastAsia="宋体"/>
                <w:b/>
                <w:sz w:val="28"/>
                <w:lang w:eastAsia="zh-CN"/>
              </w:rPr>
              <w:t>Draft</w:t>
            </w:r>
          </w:p>
        </w:tc>
        <w:tc>
          <w:tcPr>
            <w:tcW w:w="709" w:type="dxa"/>
          </w:tcPr>
          <w:p>
            <w:pPr>
              <w:pStyle w:val="CRCoverPage"/>
              <w:tabs>
                <w:tab w:val="right" w:pos="625"/>
              </w:tabs>
              <w:spacing w:after="0"/>
              <w:jc w:val="center"/>
            </w:pPr>
            <w:r>
              <w:rPr>
                <w:b/>
                <w:bCs/>
                <w:sz w:val="28"/>
              </w:rPr>
              <w:t>rev</w:t>
            </w:r>
          </w:p>
        </w:tc>
        <w:tc>
          <w:tcPr>
            <w:tcW w:w="992" w:type="dxa"/>
            <w:shd w:val="pct30" w:color="FFFF00" w:fill="auto"/>
          </w:tcPr>
          <w:p>
            <w:pPr>
              <w:pStyle w:val="CRCoverPage"/>
              <w:spacing w:after="0"/>
              <w:jc w:val="center"/>
              <w:rPr>
                <w:rFonts w:eastAsia="宋体"/>
                <w:b/>
                <w:sz w:val="28"/>
                <w:lang w:eastAsia="zh-CN"/>
              </w:rPr>
            </w:pPr>
            <w:r>
              <w:rPr>
                <w:rFonts w:eastAsia="宋体" w:hint="eastAsia"/>
                <w:b/>
                <w:sz w:val="28"/>
                <w:lang w:eastAsia="zh-CN"/>
              </w:rPr>
              <w:t>-</w:t>
            </w:r>
          </w:p>
        </w:tc>
        <w:tc>
          <w:tcPr>
            <w:tcW w:w="2410" w:type="dxa"/>
          </w:tcPr>
          <w:p>
            <w:pPr>
              <w:pStyle w:val="CRCoverPage"/>
              <w:tabs>
                <w:tab w:val="right" w:pos="1825"/>
              </w:tabs>
              <w:spacing w:after="0"/>
              <w:jc w:val="center"/>
            </w:pPr>
            <w:r>
              <w:rPr>
                <w:b/>
                <w:sz w:val="28"/>
                <w:szCs w:val="28"/>
              </w:rPr>
              <w:t>Current version:</w:t>
            </w:r>
          </w:p>
        </w:tc>
        <w:tc>
          <w:tcPr>
            <w:tcW w:w="1701" w:type="dxa"/>
            <w:shd w:val="pct30" w:color="FFFF00" w:fill="auto"/>
          </w:tcPr>
          <w:p>
            <w:pPr>
              <w:pStyle w:val="CRCoverPage"/>
              <w:spacing w:after="0"/>
              <w:jc w:val="center"/>
              <w:rPr>
                <w:sz w:val="28"/>
                <w:lang w:eastAsia="zh-CN"/>
              </w:rPr>
            </w:pPr>
            <w:r>
              <w:rPr>
                <w:rFonts w:hint="eastAsia"/>
                <w:sz w:val="28"/>
                <w:lang w:eastAsia="zh-CN"/>
              </w:rPr>
              <w:t>18.</w:t>
            </w:r>
            <w:r>
              <w:rPr>
                <w:sz w:val="28"/>
                <w:lang w:eastAsia="zh-CN"/>
              </w:rPr>
              <w:t>4</w:t>
            </w:r>
            <w:r>
              <w:rPr>
                <w:rFonts w:hint="eastAsia"/>
                <w:sz w:val="28"/>
                <w:lang w:eastAsia="zh-CN"/>
              </w:rPr>
              <w:t>.0</w:t>
            </w:r>
          </w:p>
        </w:tc>
        <w:tc>
          <w:tcPr>
            <w:tcW w:w="143" w:type="dxa"/>
            <w:tcBorders>
              <w:right w:val="single" w:sz="4" w:space="0" w:color="auto"/>
            </w:tcBorders>
          </w:tcPr>
          <w:p>
            <w:pPr>
              <w:pStyle w:val="CRCoverPage"/>
              <w:spacing w:after="0"/>
            </w:pPr>
          </w:p>
        </w:tc>
      </w:tr>
      <w:tr>
        <w:tc>
          <w:tcPr>
            <w:tcW w:w="9641" w:type="dxa"/>
            <w:gridSpan w:val="9"/>
            <w:tcBorders>
              <w:left w:val="single" w:sz="4" w:space="0" w:color="auto"/>
              <w:right w:val="single" w:sz="4" w:space="0" w:color="auto"/>
            </w:tcBorders>
          </w:tcPr>
          <w:p>
            <w:pPr>
              <w:pStyle w:val="CRCoverPage"/>
              <w:spacing w:after="0"/>
            </w:pPr>
          </w:p>
        </w:tc>
      </w:tr>
      <w:tr>
        <w:tc>
          <w:tcPr>
            <w:tcW w:w="9641" w:type="dxa"/>
            <w:gridSpan w:val="9"/>
            <w:tcBorders>
              <w:top w:val="single" w:sz="4" w:space="0" w:color="auto"/>
            </w:tcBorders>
          </w:tcPr>
          <w:p>
            <w:pPr>
              <w:pStyle w:val="CRCoverPage"/>
              <w:spacing w:after="0"/>
              <w:jc w:val="center"/>
              <w:rPr>
                <w:rFonts w:cs="Arial"/>
                <w:i/>
              </w:rPr>
            </w:pPr>
            <w:r>
              <w:rPr>
                <w:rFonts w:cs="Arial"/>
                <w:i/>
              </w:rPr>
              <w:t xml:space="preserve">For </w:t>
            </w:r>
            <w:hyperlink r:id="rId10" w:anchor="_blank" w:history="1">
              <w:r>
                <w:rPr>
                  <w:rStyle w:val="af2"/>
                  <w:rFonts w:cs="Arial"/>
                  <w:b/>
                  <w:i/>
                  <w:color w:val="FF0000"/>
                </w:rPr>
                <w:t>HE</w:t>
              </w:r>
              <w:bookmarkStart w:id="5" w:name="_Hlt497126619"/>
              <w:r>
                <w:rPr>
                  <w:rStyle w:val="af2"/>
                  <w:rFonts w:cs="Arial"/>
                  <w:b/>
                  <w:i/>
                  <w:color w:val="FF0000"/>
                </w:rPr>
                <w:t>L</w:t>
              </w:r>
              <w:bookmarkEnd w:id="5"/>
              <w:r>
                <w:rPr>
                  <w:rStyle w:val="af2"/>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2"/>
                  <w:rFonts w:cs="Arial"/>
                  <w:i/>
                </w:rPr>
                <w:t>http://www.3gpp.org/Change-Requests</w:t>
              </w:r>
            </w:hyperlink>
            <w:r>
              <w:rPr>
                <w:rFonts w:cs="Arial"/>
                <w:i/>
              </w:rPr>
              <w:t>.</w:t>
            </w:r>
          </w:p>
        </w:tc>
      </w:tr>
      <w:tr>
        <w:tc>
          <w:tcPr>
            <w:tcW w:w="9641" w:type="dxa"/>
            <w:gridSpan w:val="9"/>
          </w:tcPr>
          <w:p>
            <w:pPr>
              <w:pStyle w:val="CRCoverPage"/>
              <w:spacing w:after="0"/>
              <w:rPr>
                <w:sz w:val="8"/>
                <w:szCs w:val="8"/>
              </w:rPr>
            </w:pPr>
          </w:p>
        </w:tc>
      </w:tr>
    </w:tbl>
    <w:p>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rPr>
            </w:pPr>
            <w:r>
              <w:rPr>
                <w:b/>
                <w:i/>
              </w:rPr>
              <w:t>Proposed change affects:</w:t>
            </w:r>
          </w:p>
        </w:tc>
        <w:tc>
          <w:tcPr>
            <w:tcW w:w="1418" w:type="dxa"/>
          </w:tcPr>
          <w:p>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rPr>
            </w:pPr>
          </w:p>
        </w:tc>
        <w:tc>
          <w:tcPr>
            <w:tcW w:w="709" w:type="dxa"/>
            <w:tcBorders>
              <w:left w:val="single" w:sz="4" w:space="0" w:color="auto"/>
            </w:tcBorders>
          </w:tcPr>
          <w:p>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rPr>
            </w:pPr>
          </w:p>
        </w:tc>
        <w:tc>
          <w:tcPr>
            <w:tcW w:w="2126" w:type="dxa"/>
          </w:tcPr>
          <w:p>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lang w:eastAsia="zh-CN"/>
              </w:rPr>
            </w:pPr>
            <w:r>
              <w:rPr>
                <w:rFonts w:hint="eastAsia"/>
                <w:b/>
                <w:caps/>
                <w:lang w:eastAsia="zh-CN"/>
              </w:rPr>
              <w:t>X</w:t>
            </w:r>
          </w:p>
        </w:tc>
        <w:tc>
          <w:tcPr>
            <w:tcW w:w="1418" w:type="dxa"/>
            <w:tcBorders>
              <w:left w:val="nil"/>
            </w:tcBorders>
          </w:tcPr>
          <w:p>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rPr>
            </w:pPr>
            <w:r>
              <w:rPr>
                <w:rFonts w:hint="eastAsia"/>
                <w:b/>
                <w:caps/>
                <w:lang w:eastAsia="zh-CN"/>
              </w:rPr>
              <w:t>X</w:t>
            </w:r>
          </w:p>
        </w:tc>
      </w:tr>
    </w:tbl>
    <w:p>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pPr>
              <w:pStyle w:val="CRCoverPage"/>
              <w:rPr>
                <w:lang w:val="en-US" w:eastAsia="zh-CN"/>
              </w:rPr>
            </w:pPr>
            <w:r>
              <w:rPr>
                <w:lang w:val="en-US"/>
              </w:rPr>
              <w:t>Clarification on data transmission for EDT</w:t>
            </w:r>
          </w:p>
        </w:tc>
      </w:tr>
      <w:tr>
        <w:tc>
          <w:tcPr>
            <w:tcW w:w="1843" w:type="dxa"/>
            <w:tcBorders>
              <w:left w:val="single" w:sz="4" w:space="0" w:color="auto"/>
            </w:tcBorders>
          </w:tcPr>
          <w:p>
            <w:pPr>
              <w:pStyle w:val="CRCoverPage"/>
              <w:spacing w:after="0"/>
              <w:rPr>
                <w:b/>
                <w:i/>
                <w:sz w:val="8"/>
                <w:szCs w:val="8"/>
              </w:rPr>
            </w:pPr>
          </w:p>
        </w:tc>
        <w:tc>
          <w:tcPr>
            <w:tcW w:w="7797" w:type="dxa"/>
            <w:gridSpan w:val="10"/>
            <w:tcBorders>
              <w:right w:val="single" w:sz="4" w:space="0" w:color="auto"/>
            </w:tcBorders>
          </w:tcPr>
          <w:p>
            <w:pPr>
              <w:pStyle w:val="CRCoverPage"/>
              <w:spacing w:after="0"/>
              <w:rPr>
                <w:sz w:val="8"/>
                <w:szCs w:val="8"/>
              </w:rPr>
            </w:pPr>
          </w:p>
        </w:tc>
      </w:tr>
      <w:tr>
        <w:tc>
          <w:tcPr>
            <w:tcW w:w="1843" w:type="dxa"/>
            <w:tcBorders>
              <w:left w:val="single" w:sz="4" w:space="0" w:color="auto"/>
            </w:tcBorders>
          </w:tcPr>
          <w:p>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pPr>
              <w:pStyle w:val="CRCoverPage"/>
              <w:rPr>
                <w:lang w:val="it-IT" w:eastAsia="zh-CN"/>
              </w:rPr>
            </w:pPr>
            <w:r>
              <w:rPr>
                <w:lang w:val="it-IT"/>
              </w:rPr>
              <w:t xml:space="preserve">ZTE Corporation, </w:t>
            </w:r>
            <w:r>
              <w:rPr>
                <w:rFonts w:hint="eastAsia"/>
                <w:lang w:val="it-IT"/>
              </w:rPr>
              <w:t>C</w:t>
            </w:r>
            <w:r>
              <w:rPr>
                <w:lang w:val="it-IT"/>
              </w:rPr>
              <w:t>hina Telecom, Huawei</w:t>
            </w:r>
            <w:r>
              <w:rPr>
                <w:rFonts w:hint="eastAsia"/>
                <w:lang w:val="it-IT" w:eastAsia="zh-CN"/>
              </w:rPr>
              <w:t>,</w:t>
            </w:r>
            <w:r>
              <w:rPr>
                <w:lang w:val="it-IT" w:eastAsia="zh-CN"/>
              </w:rPr>
              <w:t xml:space="preserve"> Nokia</w:t>
            </w:r>
          </w:p>
        </w:tc>
      </w:tr>
      <w:tr>
        <w:tc>
          <w:tcPr>
            <w:tcW w:w="1843" w:type="dxa"/>
            <w:tcBorders>
              <w:left w:val="single" w:sz="4" w:space="0" w:color="auto"/>
            </w:tcBorders>
          </w:tcPr>
          <w:p>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pPr>
              <w:pStyle w:val="CRCoverPage"/>
              <w:spacing w:after="0"/>
            </w:pPr>
            <w:r>
              <w:t>R3</w:t>
            </w:r>
          </w:p>
        </w:tc>
      </w:tr>
      <w:tr>
        <w:tc>
          <w:tcPr>
            <w:tcW w:w="1843" w:type="dxa"/>
            <w:tcBorders>
              <w:left w:val="single" w:sz="4" w:space="0" w:color="auto"/>
            </w:tcBorders>
          </w:tcPr>
          <w:p>
            <w:pPr>
              <w:pStyle w:val="CRCoverPage"/>
              <w:spacing w:after="0"/>
              <w:rPr>
                <w:b/>
                <w:i/>
                <w:sz w:val="8"/>
                <w:szCs w:val="8"/>
              </w:rPr>
            </w:pPr>
          </w:p>
        </w:tc>
        <w:tc>
          <w:tcPr>
            <w:tcW w:w="7797" w:type="dxa"/>
            <w:gridSpan w:val="10"/>
            <w:tcBorders>
              <w:right w:val="single" w:sz="4" w:space="0" w:color="auto"/>
            </w:tcBorders>
          </w:tcPr>
          <w:p>
            <w:pPr>
              <w:pStyle w:val="CRCoverPage"/>
              <w:spacing w:after="0"/>
              <w:rPr>
                <w:sz w:val="8"/>
                <w:szCs w:val="8"/>
              </w:rPr>
            </w:pPr>
          </w:p>
        </w:tc>
      </w:tr>
      <w:tr>
        <w:tc>
          <w:tcPr>
            <w:tcW w:w="1843" w:type="dxa"/>
            <w:tcBorders>
              <w:left w:val="single" w:sz="4" w:space="0" w:color="auto"/>
            </w:tcBorders>
          </w:tcPr>
          <w:p>
            <w:pPr>
              <w:pStyle w:val="CRCoverPage"/>
              <w:tabs>
                <w:tab w:val="right" w:pos="1759"/>
              </w:tabs>
              <w:spacing w:after="0"/>
              <w:rPr>
                <w:b/>
                <w:i/>
              </w:rPr>
            </w:pPr>
            <w:r>
              <w:rPr>
                <w:b/>
                <w:i/>
              </w:rPr>
              <w:t>Work item code:</w:t>
            </w:r>
          </w:p>
        </w:tc>
        <w:tc>
          <w:tcPr>
            <w:tcW w:w="3686" w:type="dxa"/>
            <w:gridSpan w:val="5"/>
            <w:shd w:val="pct30" w:color="FFFF00" w:fill="auto"/>
          </w:tcPr>
          <w:p>
            <w:pPr>
              <w:pStyle w:val="CRCoverPage"/>
              <w:spacing w:after="0"/>
              <w:rPr>
                <w:lang w:eastAsia="zh-CN"/>
              </w:rPr>
            </w:pPr>
            <w:r>
              <w:rPr>
                <w:lang w:eastAsia="zh-CN"/>
              </w:rPr>
              <w:t>NB_IOTenh3-Core, TEI18</w:t>
            </w:r>
          </w:p>
        </w:tc>
        <w:tc>
          <w:tcPr>
            <w:tcW w:w="567" w:type="dxa"/>
            <w:tcBorders>
              <w:left w:val="nil"/>
            </w:tcBorders>
          </w:tcPr>
          <w:p>
            <w:pPr>
              <w:pStyle w:val="CRCoverPage"/>
              <w:spacing w:after="0"/>
              <w:ind w:right="100"/>
            </w:pPr>
          </w:p>
        </w:tc>
        <w:tc>
          <w:tcPr>
            <w:tcW w:w="1417" w:type="dxa"/>
            <w:gridSpan w:val="3"/>
            <w:tcBorders>
              <w:left w:val="nil"/>
            </w:tcBorders>
          </w:tcPr>
          <w:p>
            <w:pPr>
              <w:pStyle w:val="CRCoverPage"/>
              <w:spacing w:after="0"/>
              <w:jc w:val="right"/>
            </w:pPr>
            <w:r>
              <w:rPr>
                <w:b/>
                <w:i/>
              </w:rPr>
              <w:t>Date:</w:t>
            </w:r>
          </w:p>
        </w:tc>
        <w:tc>
          <w:tcPr>
            <w:tcW w:w="2127" w:type="dxa"/>
            <w:tcBorders>
              <w:right w:val="single" w:sz="4" w:space="0" w:color="auto"/>
            </w:tcBorders>
            <w:shd w:val="pct30" w:color="FFFF00" w:fill="auto"/>
          </w:tcPr>
          <w:p>
            <w:pPr>
              <w:pStyle w:val="CRCoverPage"/>
              <w:spacing w:after="0"/>
              <w:ind w:left="100"/>
              <w:rPr>
                <w:lang w:eastAsia="zh-CN"/>
              </w:rPr>
            </w:pPr>
            <w:r>
              <w:t>2025-04-</w:t>
            </w:r>
            <w:r>
              <w:rPr>
                <w:lang w:eastAsia="zh-CN"/>
              </w:rPr>
              <w:t>29</w:t>
            </w:r>
          </w:p>
        </w:tc>
      </w:tr>
      <w:tr>
        <w:tc>
          <w:tcPr>
            <w:tcW w:w="1843" w:type="dxa"/>
            <w:tcBorders>
              <w:left w:val="single" w:sz="4" w:space="0" w:color="auto"/>
            </w:tcBorders>
          </w:tcPr>
          <w:p>
            <w:pPr>
              <w:pStyle w:val="CRCoverPage"/>
              <w:spacing w:after="0"/>
              <w:rPr>
                <w:b/>
                <w:i/>
                <w:sz w:val="8"/>
                <w:szCs w:val="8"/>
              </w:rPr>
            </w:pPr>
          </w:p>
        </w:tc>
        <w:tc>
          <w:tcPr>
            <w:tcW w:w="1986" w:type="dxa"/>
            <w:gridSpan w:val="4"/>
          </w:tcPr>
          <w:p>
            <w:pPr>
              <w:pStyle w:val="CRCoverPage"/>
              <w:spacing w:after="0"/>
              <w:rPr>
                <w:sz w:val="8"/>
                <w:szCs w:val="8"/>
              </w:rPr>
            </w:pPr>
          </w:p>
        </w:tc>
        <w:tc>
          <w:tcPr>
            <w:tcW w:w="2267" w:type="dxa"/>
            <w:gridSpan w:val="2"/>
          </w:tcPr>
          <w:p>
            <w:pPr>
              <w:pStyle w:val="CRCoverPage"/>
              <w:spacing w:after="0"/>
              <w:rPr>
                <w:sz w:val="8"/>
                <w:szCs w:val="8"/>
              </w:rPr>
            </w:pPr>
          </w:p>
        </w:tc>
        <w:tc>
          <w:tcPr>
            <w:tcW w:w="1417" w:type="dxa"/>
            <w:gridSpan w:val="3"/>
          </w:tcPr>
          <w:p>
            <w:pPr>
              <w:pStyle w:val="CRCoverPage"/>
              <w:spacing w:after="0"/>
              <w:rPr>
                <w:sz w:val="8"/>
                <w:szCs w:val="8"/>
              </w:rPr>
            </w:pPr>
          </w:p>
        </w:tc>
        <w:tc>
          <w:tcPr>
            <w:tcW w:w="2127" w:type="dxa"/>
            <w:tcBorders>
              <w:right w:val="single" w:sz="4" w:space="0" w:color="auto"/>
            </w:tcBorders>
          </w:tcPr>
          <w:p>
            <w:pPr>
              <w:pStyle w:val="CRCoverPage"/>
              <w:spacing w:after="0"/>
              <w:rPr>
                <w:sz w:val="8"/>
                <w:szCs w:val="8"/>
              </w:rPr>
            </w:pPr>
          </w:p>
        </w:tc>
      </w:tr>
      <w:tr>
        <w:trPr>
          <w:cantSplit/>
        </w:trPr>
        <w:tc>
          <w:tcPr>
            <w:tcW w:w="1843" w:type="dxa"/>
            <w:tcBorders>
              <w:left w:val="single" w:sz="4" w:space="0" w:color="auto"/>
            </w:tcBorders>
          </w:tcPr>
          <w:p>
            <w:pPr>
              <w:pStyle w:val="CRCoverPage"/>
              <w:tabs>
                <w:tab w:val="right" w:pos="1759"/>
              </w:tabs>
              <w:spacing w:after="0"/>
              <w:rPr>
                <w:b/>
                <w:i/>
              </w:rPr>
            </w:pPr>
            <w:r>
              <w:rPr>
                <w:b/>
                <w:i/>
              </w:rPr>
              <w:t>Category:</w:t>
            </w:r>
          </w:p>
        </w:tc>
        <w:tc>
          <w:tcPr>
            <w:tcW w:w="851" w:type="dxa"/>
            <w:shd w:val="pct30" w:color="FFFF00" w:fill="auto"/>
          </w:tcPr>
          <w:p>
            <w:pPr>
              <w:pStyle w:val="CRCoverPage"/>
              <w:spacing w:after="0"/>
              <w:ind w:right="-609"/>
              <w:rPr>
                <w:b/>
              </w:rPr>
            </w:pPr>
            <w:r>
              <w:t>F</w:t>
            </w:r>
          </w:p>
        </w:tc>
        <w:tc>
          <w:tcPr>
            <w:tcW w:w="3402" w:type="dxa"/>
            <w:gridSpan w:val="5"/>
            <w:tcBorders>
              <w:left w:val="nil"/>
            </w:tcBorders>
          </w:tcPr>
          <w:p>
            <w:pPr>
              <w:pStyle w:val="CRCoverPage"/>
              <w:spacing w:after="0"/>
            </w:pPr>
          </w:p>
        </w:tc>
        <w:tc>
          <w:tcPr>
            <w:tcW w:w="1417" w:type="dxa"/>
            <w:gridSpan w:val="3"/>
            <w:tcBorders>
              <w:left w:val="nil"/>
            </w:tcBorders>
          </w:tcPr>
          <w:p>
            <w:pPr>
              <w:pStyle w:val="CRCoverPage"/>
              <w:spacing w:after="0"/>
              <w:jc w:val="right"/>
              <w:rPr>
                <w:b/>
                <w:i/>
              </w:rPr>
            </w:pPr>
            <w:r>
              <w:rPr>
                <w:b/>
                <w:i/>
              </w:rPr>
              <w:t>Release:</w:t>
            </w:r>
          </w:p>
        </w:tc>
        <w:tc>
          <w:tcPr>
            <w:tcW w:w="2127" w:type="dxa"/>
            <w:tcBorders>
              <w:right w:val="single" w:sz="4" w:space="0" w:color="auto"/>
            </w:tcBorders>
            <w:shd w:val="pct30" w:color="FFFF00" w:fill="auto"/>
          </w:tcPr>
          <w:p>
            <w:pPr>
              <w:pStyle w:val="CRCoverPage"/>
              <w:spacing w:after="0"/>
              <w:ind w:left="100"/>
              <w:rPr>
                <w:lang w:eastAsia="zh-CN"/>
              </w:rPr>
            </w:pPr>
            <w:r>
              <w:t>Rel-1</w:t>
            </w:r>
            <w:r>
              <w:rPr>
                <w:rFonts w:hint="eastAsia"/>
                <w:lang w:eastAsia="zh-CN"/>
              </w:rPr>
              <w:t>8</w:t>
            </w:r>
          </w:p>
        </w:tc>
      </w:tr>
      <w:tr>
        <w:tc>
          <w:tcPr>
            <w:tcW w:w="1843" w:type="dxa"/>
            <w:tcBorders>
              <w:left w:val="single" w:sz="4" w:space="0" w:color="auto"/>
              <w:bottom w:val="single" w:sz="4" w:space="0" w:color="auto"/>
            </w:tcBorders>
          </w:tcPr>
          <w:p>
            <w:pPr>
              <w:pStyle w:val="CRCoverPage"/>
              <w:spacing w:after="0"/>
              <w:rPr>
                <w:b/>
                <w:i/>
              </w:rPr>
            </w:pPr>
          </w:p>
        </w:tc>
        <w:tc>
          <w:tcPr>
            <w:tcW w:w="4677" w:type="dxa"/>
            <w:gridSpan w:val="8"/>
            <w:tcBorders>
              <w:bottom w:val="single" w:sz="4" w:space="0" w:color="auto"/>
            </w:tcBorders>
          </w:tcPr>
          <w:p>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pPr>
              <w:pStyle w:val="CRCoverPage"/>
            </w:pPr>
            <w:r>
              <w:rPr>
                <w:sz w:val="18"/>
              </w:rPr>
              <w:t>Detailed explanations of the above categories can</w:t>
            </w:r>
            <w:r>
              <w:rPr>
                <w:sz w:val="18"/>
              </w:rPr>
              <w:br/>
              <w:t xml:space="preserve">be found in 3GPP </w:t>
            </w:r>
            <w:hyperlink r:id="rId12" w:history="1">
              <w:r>
                <w:rPr>
                  <w:rStyle w:val="af2"/>
                  <w:sz w:val="18"/>
                </w:rPr>
                <w:t>TR 21.900</w:t>
              </w:r>
            </w:hyperlink>
            <w:r>
              <w:rPr>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r>
            <w:r>
              <w:rPr>
                <w:i/>
                <w:noProof/>
                <w:sz w:val="18"/>
              </w:rP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tc>
          <w:tcPr>
            <w:tcW w:w="1843" w:type="dxa"/>
          </w:tcPr>
          <w:p>
            <w:pPr>
              <w:pStyle w:val="CRCoverPage"/>
              <w:spacing w:after="0"/>
              <w:rPr>
                <w:b/>
                <w:i/>
                <w:sz w:val="8"/>
                <w:szCs w:val="8"/>
              </w:rPr>
            </w:pPr>
          </w:p>
        </w:tc>
        <w:tc>
          <w:tcPr>
            <w:tcW w:w="7797" w:type="dxa"/>
            <w:gridSpan w:val="10"/>
          </w:tcPr>
          <w:p>
            <w:pPr>
              <w:pStyle w:val="CRCoverPage"/>
              <w:spacing w:after="0"/>
              <w:rPr>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zh-CN"/>
              </w:rPr>
            </w:pPr>
            <w:r>
              <w:rPr>
                <w:noProof/>
                <w:lang w:eastAsia="zh-CN"/>
              </w:rPr>
              <w:t>In TS38.300, in case of RA-based SDT with UE context relocation, the SDT data can be transmitted before Path Switch procedure (Step 5 and Step 6). And in TS36.300 and TS38.300, during HO procedure, the user data can be transmitted before Path Switch procedure.</w:t>
            </w:r>
          </w:p>
          <w:p>
            <w:pPr>
              <w:pStyle w:val="CRCoverPage"/>
              <w:spacing w:after="0"/>
              <w:ind w:left="100"/>
              <w:rPr>
                <w:noProof/>
                <w:lang w:eastAsia="zh-CN"/>
              </w:rPr>
            </w:pPr>
            <w:r>
              <w:rPr>
                <w:noProof/>
                <w:lang w:eastAsia="zh-CN"/>
              </w:rPr>
              <w:t>As the same reason, for EDT, UL/DL user data can be transmitted before Path Switch procedure.</w:t>
            </w:r>
          </w:p>
        </w:tc>
      </w:tr>
      <w:tr>
        <w:tc>
          <w:tcPr>
            <w:tcW w:w="2694" w:type="dxa"/>
            <w:gridSpan w:val="2"/>
            <w:tcBorders>
              <w:left w:val="single" w:sz="4" w:space="0" w:color="auto"/>
            </w:tcBorders>
          </w:tcPr>
          <w:p>
            <w:pPr>
              <w:pStyle w:val="CRCoverPage"/>
              <w:spacing w:after="0"/>
              <w:rPr>
                <w:b/>
                <w:i/>
                <w:sz w:val="8"/>
                <w:szCs w:val="8"/>
              </w:rPr>
            </w:pPr>
          </w:p>
        </w:tc>
        <w:tc>
          <w:tcPr>
            <w:tcW w:w="6946" w:type="dxa"/>
            <w:gridSpan w:val="9"/>
            <w:tcBorders>
              <w:right w:val="single" w:sz="4" w:space="0" w:color="auto"/>
            </w:tcBorders>
          </w:tcPr>
          <w:p>
            <w:pPr>
              <w:pStyle w:val="CRCoverPage"/>
              <w:spacing w:after="0"/>
              <w:rPr>
                <w:sz w:val="8"/>
                <w:szCs w:val="8"/>
              </w:rPr>
            </w:pPr>
          </w:p>
        </w:tc>
      </w:tr>
      <w:tr>
        <w:tc>
          <w:tcPr>
            <w:tcW w:w="2694" w:type="dxa"/>
            <w:gridSpan w:val="2"/>
            <w:tcBorders>
              <w:left w:val="single" w:sz="4" w:space="0" w:color="auto"/>
            </w:tcBorders>
          </w:tcPr>
          <w:p>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zh-CN"/>
              </w:rPr>
            </w:pPr>
            <w:r>
              <w:rPr>
                <w:noProof/>
                <w:lang w:eastAsia="zh-CN"/>
              </w:rPr>
              <w:t>Clarify that for EDT, UL/DL user data can be transmitted before Path Switch procedure</w:t>
            </w:r>
          </w:p>
          <w:p>
            <w:pPr>
              <w:pStyle w:val="CRCoverPage"/>
              <w:spacing w:after="0"/>
              <w:ind w:left="100"/>
              <w:rPr>
                <w:lang w:val="en-US" w:eastAsia="zh-CN"/>
              </w:rPr>
            </w:pPr>
          </w:p>
          <w:p>
            <w:pPr>
              <w:pStyle w:val="CRCoverPage"/>
              <w:ind w:left="100"/>
            </w:pPr>
            <w:r>
              <w:rPr>
                <w:u w:val="single"/>
              </w:rPr>
              <w:t>Impact Analysis:</w:t>
            </w:r>
          </w:p>
          <w:p>
            <w:pPr>
              <w:pStyle w:val="CRCoverPage"/>
              <w:spacing w:after="0"/>
              <w:ind w:left="100"/>
              <w:rPr>
                <w:lang w:eastAsia="zh-CN"/>
              </w:rPr>
            </w:pPr>
            <w:r>
              <w:rPr>
                <w:lang w:eastAsia="zh-CN"/>
              </w:rPr>
              <w:t>Impact assessment towards the previous version of the specification (same release):</w:t>
            </w:r>
          </w:p>
          <w:p>
            <w:pPr>
              <w:pStyle w:val="CRCoverPage"/>
              <w:spacing w:after="0"/>
              <w:ind w:left="100"/>
              <w:rPr>
                <w:lang w:eastAsia="zh-CN"/>
              </w:rPr>
            </w:pPr>
            <w:r>
              <w:rPr>
                <w:lang w:eastAsia="zh-CN"/>
              </w:rPr>
              <w:t>This CR has an isolated impact towards the previous version of the specification (same release).</w:t>
            </w:r>
            <w:r>
              <w:rPr>
                <w:rFonts w:hint="eastAsia"/>
                <w:lang w:eastAsia="zh-CN"/>
              </w:rPr>
              <w:t xml:space="preserve"> </w:t>
            </w:r>
            <w:r>
              <w:rPr>
                <w:lang w:eastAsia="zh-CN"/>
              </w:rPr>
              <w:t xml:space="preserve">This CR only has an impact on EDT </w:t>
            </w:r>
            <w:r>
              <w:rPr>
                <w:rFonts w:hint="eastAsia"/>
                <w:lang w:eastAsia="zh-CN"/>
              </w:rPr>
              <w:t>function</w:t>
            </w:r>
            <w:r>
              <w:rPr>
                <w:lang w:eastAsia="zh-CN"/>
              </w:rPr>
              <w:t>.</w:t>
            </w:r>
          </w:p>
        </w:tc>
      </w:tr>
      <w:tr>
        <w:tc>
          <w:tcPr>
            <w:tcW w:w="2694" w:type="dxa"/>
            <w:gridSpan w:val="2"/>
            <w:tcBorders>
              <w:left w:val="single" w:sz="4" w:space="0" w:color="auto"/>
            </w:tcBorders>
          </w:tcPr>
          <w:p>
            <w:pPr>
              <w:pStyle w:val="CRCoverPage"/>
              <w:spacing w:after="0"/>
              <w:rPr>
                <w:b/>
                <w:i/>
                <w:sz w:val="8"/>
                <w:szCs w:val="8"/>
              </w:rPr>
            </w:pPr>
          </w:p>
        </w:tc>
        <w:tc>
          <w:tcPr>
            <w:tcW w:w="6946" w:type="dxa"/>
            <w:gridSpan w:val="9"/>
            <w:tcBorders>
              <w:right w:val="single" w:sz="4" w:space="0" w:color="auto"/>
            </w:tcBorders>
          </w:tcPr>
          <w:p>
            <w:pPr>
              <w:pStyle w:val="CRCoverPage"/>
              <w:spacing w:after="0"/>
              <w:rPr>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pPr>
            <w:r>
              <w:rPr>
                <w:noProof/>
                <w:lang w:eastAsia="zh-CN"/>
              </w:rPr>
              <w:t>For EDT, UL/DL user data cannot be transmitted befor Path Switch procedure.</w:t>
            </w:r>
          </w:p>
        </w:tc>
      </w:tr>
      <w:tr>
        <w:tc>
          <w:tcPr>
            <w:tcW w:w="2694" w:type="dxa"/>
            <w:gridSpan w:val="2"/>
          </w:tcPr>
          <w:p>
            <w:pPr>
              <w:pStyle w:val="CRCoverPage"/>
              <w:spacing w:after="0"/>
              <w:rPr>
                <w:b/>
                <w:i/>
                <w:sz w:val="8"/>
                <w:szCs w:val="8"/>
              </w:rPr>
            </w:pPr>
          </w:p>
        </w:tc>
        <w:tc>
          <w:tcPr>
            <w:tcW w:w="6946" w:type="dxa"/>
            <w:gridSpan w:val="9"/>
          </w:tcPr>
          <w:p>
            <w:pPr>
              <w:pStyle w:val="CRCoverPage"/>
              <w:spacing w:after="0"/>
              <w:rPr>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lang w:eastAsia="zh-CN"/>
              </w:rPr>
            </w:pPr>
            <w:r>
              <w:rPr>
                <w:lang w:eastAsia="zh-CN"/>
              </w:rPr>
              <w:t>7.3b.3</w:t>
            </w:r>
          </w:p>
        </w:tc>
      </w:tr>
      <w:tr>
        <w:tc>
          <w:tcPr>
            <w:tcW w:w="2694" w:type="dxa"/>
            <w:gridSpan w:val="2"/>
            <w:tcBorders>
              <w:left w:val="single" w:sz="4" w:space="0" w:color="auto"/>
            </w:tcBorders>
          </w:tcPr>
          <w:p>
            <w:pPr>
              <w:pStyle w:val="CRCoverPage"/>
              <w:spacing w:after="0"/>
              <w:rPr>
                <w:b/>
                <w:i/>
                <w:sz w:val="8"/>
                <w:szCs w:val="8"/>
              </w:rPr>
            </w:pPr>
          </w:p>
        </w:tc>
        <w:tc>
          <w:tcPr>
            <w:tcW w:w="6946" w:type="dxa"/>
            <w:gridSpan w:val="9"/>
            <w:tcBorders>
              <w:right w:val="single" w:sz="4" w:space="0" w:color="auto"/>
            </w:tcBorders>
          </w:tcPr>
          <w:p>
            <w:pPr>
              <w:pStyle w:val="CRCoverPage"/>
              <w:spacing w:after="0"/>
              <w:rPr>
                <w:sz w:val="8"/>
                <w:szCs w:val="8"/>
              </w:rPr>
            </w:pPr>
          </w:p>
        </w:tc>
      </w:tr>
      <w:tr>
        <w:tc>
          <w:tcPr>
            <w:tcW w:w="2694" w:type="dxa"/>
            <w:gridSpan w:val="2"/>
            <w:tcBorders>
              <w:left w:val="single" w:sz="4" w:space="0" w:color="auto"/>
            </w:tcBorders>
          </w:tcPr>
          <w:p>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rPr>
            </w:pPr>
            <w:r>
              <w:rPr>
                <w:b/>
                <w:caps/>
              </w:rPr>
              <w:t>N</w:t>
            </w:r>
          </w:p>
        </w:tc>
        <w:tc>
          <w:tcPr>
            <w:tcW w:w="2977" w:type="dxa"/>
            <w:gridSpan w:val="4"/>
          </w:tcPr>
          <w:p>
            <w:pPr>
              <w:pStyle w:val="CRCoverPage"/>
              <w:tabs>
                <w:tab w:val="right" w:pos="2893"/>
              </w:tabs>
              <w:spacing w:after="0"/>
            </w:pPr>
          </w:p>
        </w:tc>
        <w:tc>
          <w:tcPr>
            <w:tcW w:w="3401" w:type="dxa"/>
            <w:gridSpan w:val="3"/>
            <w:tcBorders>
              <w:right w:val="single" w:sz="4" w:space="0" w:color="auto"/>
            </w:tcBorders>
            <w:shd w:val="clear" w:color="FFFF00" w:fill="auto"/>
          </w:tcPr>
          <w:p>
            <w:pPr>
              <w:pStyle w:val="CRCoverPage"/>
              <w:spacing w:after="0"/>
              <w:ind w:left="99"/>
            </w:pPr>
          </w:p>
        </w:tc>
      </w:tr>
      <w:tr>
        <w:tc>
          <w:tcPr>
            <w:tcW w:w="2694" w:type="dxa"/>
            <w:gridSpan w:val="2"/>
            <w:tcBorders>
              <w:left w:val="single" w:sz="4" w:space="0" w:color="auto"/>
            </w:tcBorders>
          </w:tcPr>
          <w:p>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lang w:eastAsia="zh-CN"/>
              </w:rPr>
            </w:pPr>
            <w:r>
              <w:rPr>
                <w:rFonts w:hint="eastAsia"/>
                <w:b/>
                <w:caps/>
                <w:lang w:eastAsia="zh-CN"/>
              </w:rPr>
              <w:t>X</w:t>
            </w:r>
          </w:p>
        </w:tc>
        <w:tc>
          <w:tcPr>
            <w:tcW w:w="2977" w:type="dxa"/>
            <w:gridSpan w:val="4"/>
          </w:tcPr>
          <w:p>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pPr>
              <w:pStyle w:val="CRCoverPage"/>
              <w:spacing w:after="0"/>
              <w:ind w:left="99"/>
            </w:pPr>
            <w:r>
              <w:t>TS/TR ... CR ...</w:t>
            </w:r>
          </w:p>
        </w:tc>
      </w:tr>
      <w:tr>
        <w:tc>
          <w:tcPr>
            <w:tcW w:w="2694" w:type="dxa"/>
            <w:gridSpan w:val="2"/>
            <w:tcBorders>
              <w:left w:val="single" w:sz="4" w:space="0" w:color="auto"/>
            </w:tcBorders>
          </w:tcPr>
          <w:p>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lang w:eastAsia="zh-CN"/>
              </w:rPr>
            </w:pPr>
            <w:r>
              <w:rPr>
                <w:rFonts w:hint="eastAsia"/>
                <w:b/>
                <w:caps/>
                <w:lang w:eastAsia="zh-CN"/>
              </w:rPr>
              <w:t>X</w:t>
            </w:r>
          </w:p>
        </w:tc>
        <w:tc>
          <w:tcPr>
            <w:tcW w:w="2977" w:type="dxa"/>
            <w:gridSpan w:val="4"/>
          </w:tcPr>
          <w:p>
            <w:pPr>
              <w:pStyle w:val="CRCoverPage"/>
              <w:spacing w:after="0"/>
            </w:pPr>
            <w:r>
              <w:t xml:space="preserve"> Test specifications</w:t>
            </w:r>
          </w:p>
        </w:tc>
        <w:tc>
          <w:tcPr>
            <w:tcW w:w="3401" w:type="dxa"/>
            <w:gridSpan w:val="3"/>
            <w:tcBorders>
              <w:right w:val="single" w:sz="4" w:space="0" w:color="auto"/>
            </w:tcBorders>
            <w:shd w:val="pct30" w:color="FFFF00" w:fill="auto"/>
          </w:tcPr>
          <w:p>
            <w:pPr>
              <w:pStyle w:val="CRCoverPage"/>
              <w:spacing w:after="0"/>
              <w:ind w:left="99"/>
            </w:pPr>
            <w:r>
              <w:t xml:space="preserve">TS/TR ... CR ... </w:t>
            </w:r>
          </w:p>
        </w:tc>
      </w:tr>
      <w:tr>
        <w:tc>
          <w:tcPr>
            <w:tcW w:w="2694" w:type="dxa"/>
            <w:gridSpan w:val="2"/>
            <w:tcBorders>
              <w:left w:val="single" w:sz="4" w:space="0" w:color="auto"/>
            </w:tcBorders>
          </w:tcPr>
          <w:p>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lang w:eastAsia="zh-CN"/>
              </w:rPr>
            </w:pPr>
            <w:r>
              <w:rPr>
                <w:rFonts w:hint="eastAsia"/>
                <w:b/>
                <w:caps/>
                <w:lang w:eastAsia="zh-CN"/>
              </w:rPr>
              <w:t>X</w:t>
            </w:r>
          </w:p>
        </w:tc>
        <w:tc>
          <w:tcPr>
            <w:tcW w:w="2977" w:type="dxa"/>
            <w:gridSpan w:val="4"/>
          </w:tcPr>
          <w:p>
            <w:pPr>
              <w:pStyle w:val="CRCoverPage"/>
              <w:spacing w:after="0"/>
            </w:pPr>
            <w:r>
              <w:t xml:space="preserve"> O&amp;M Specifications</w:t>
            </w:r>
          </w:p>
        </w:tc>
        <w:tc>
          <w:tcPr>
            <w:tcW w:w="3401" w:type="dxa"/>
            <w:gridSpan w:val="3"/>
            <w:tcBorders>
              <w:right w:val="single" w:sz="4" w:space="0" w:color="auto"/>
            </w:tcBorders>
            <w:shd w:val="pct30" w:color="FFFF00" w:fill="auto"/>
          </w:tcPr>
          <w:p>
            <w:pPr>
              <w:pStyle w:val="CRCoverPage"/>
              <w:spacing w:after="0"/>
              <w:ind w:left="99"/>
            </w:pPr>
            <w:r>
              <w:t xml:space="preserve">TS/TR ... CR ... </w:t>
            </w:r>
          </w:p>
        </w:tc>
      </w:tr>
      <w:tr>
        <w:tc>
          <w:tcPr>
            <w:tcW w:w="2694" w:type="dxa"/>
            <w:gridSpan w:val="2"/>
            <w:tcBorders>
              <w:left w:val="single" w:sz="4" w:space="0" w:color="auto"/>
            </w:tcBorders>
          </w:tcPr>
          <w:p>
            <w:pPr>
              <w:pStyle w:val="CRCoverPage"/>
              <w:spacing w:after="0"/>
              <w:rPr>
                <w:b/>
                <w:i/>
              </w:rPr>
            </w:pPr>
          </w:p>
        </w:tc>
        <w:tc>
          <w:tcPr>
            <w:tcW w:w="6946" w:type="dxa"/>
            <w:gridSpan w:val="9"/>
            <w:tcBorders>
              <w:right w:val="single" w:sz="4" w:space="0" w:color="auto"/>
            </w:tcBorders>
          </w:tcPr>
          <w:p>
            <w:pPr>
              <w:pStyle w:val="CRCoverPage"/>
              <w:spacing w:after="0"/>
            </w:pPr>
          </w:p>
        </w:tc>
      </w:tr>
      <w:tr>
        <w:tc>
          <w:tcPr>
            <w:tcW w:w="2694" w:type="dxa"/>
            <w:gridSpan w:val="2"/>
            <w:tcBorders>
              <w:left w:val="single" w:sz="4" w:space="0" w:color="auto"/>
              <w:bottom w:val="single" w:sz="4" w:space="0" w:color="auto"/>
            </w:tcBorders>
          </w:tcPr>
          <w:p>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pPr>
          </w:p>
        </w:tc>
      </w:tr>
      <w:tr>
        <w:tc>
          <w:tcPr>
            <w:tcW w:w="2694" w:type="dxa"/>
            <w:gridSpan w:val="2"/>
            <w:tcBorders>
              <w:top w:val="single" w:sz="4" w:space="0" w:color="auto"/>
              <w:bottom w:val="single" w:sz="4" w:space="0" w:color="auto"/>
            </w:tcBorders>
          </w:tcPr>
          <w:p>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lang w:eastAsia="zh-CN"/>
              </w:rPr>
            </w:pPr>
            <w:r>
              <w:rPr>
                <w:lang w:eastAsia="zh-CN"/>
              </w:rPr>
              <w:t>R3-251880</w:t>
            </w:r>
            <w:r>
              <w:rPr>
                <w:rFonts w:hint="eastAsia"/>
                <w:lang w:eastAsia="zh-CN"/>
              </w:rPr>
              <w:t>:</w:t>
            </w:r>
            <w:r>
              <w:rPr>
                <w:lang w:eastAsia="zh-CN"/>
              </w:rPr>
              <w:t xml:space="preserve"> 1) Separate the case in Note1; 2) Add Nok as co-source</w:t>
            </w:r>
          </w:p>
          <w:p>
            <w:pPr>
              <w:pStyle w:val="CRCoverPage"/>
              <w:spacing w:after="0"/>
              <w:ind w:left="100"/>
              <w:rPr>
                <w:lang w:eastAsia="zh-CN"/>
              </w:rPr>
            </w:pPr>
            <w:r>
              <w:rPr>
                <w:lang w:eastAsia="zh-CN"/>
              </w:rPr>
              <w:t xml:space="preserve">R3-252316. </w:t>
            </w:r>
            <w:r>
              <w:rPr>
                <w:lang w:eastAsia="zh-CN"/>
              </w:rPr>
              <w:t>Resubmitted</w:t>
            </w:r>
            <w:bookmarkStart w:id="6" w:name="_GoBack"/>
            <w:bookmarkEnd w:id="6"/>
          </w:p>
        </w:tc>
      </w:tr>
    </w:tbl>
    <w:p>
      <w:pPr>
        <w:pStyle w:val="CRCoverPage"/>
        <w:spacing w:after="0"/>
        <w:rPr>
          <w:sz w:val="8"/>
          <w:szCs w:val="8"/>
        </w:rPr>
      </w:pPr>
    </w:p>
    <w:p>
      <w:pPr>
        <w:sectPr>
          <w:headerReference w:type="even" r:id="rId13"/>
          <w:footnotePr>
            <w:numRestart w:val="eachSect"/>
          </w:footnotePr>
          <w:pgSz w:w="11907" w:h="16840"/>
          <w:pgMar w:top="1418" w:right="1134" w:bottom="1134" w:left="1134" w:header="680" w:footer="567" w:gutter="0"/>
          <w:cols w:space="720"/>
        </w:sectPr>
      </w:pPr>
    </w:p>
    <w:p>
      <w:pPr>
        <w:rPr>
          <w:color w:val="FF0000"/>
        </w:rPr>
      </w:pPr>
      <w:r>
        <w:rPr>
          <w:color w:val="FF0000"/>
        </w:rPr>
        <w:lastRenderedPageBreak/>
        <w:t>////////////////////////////////////////////////////////////// Start of change /////////////////////////////////////////////////////////////////////</w:t>
      </w:r>
    </w:p>
    <w:p>
      <w:pPr>
        <w:pStyle w:val="4"/>
        <w:keepNext w:val="0"/>
        <w:keepLines w:val="0"/>
        <w:widowControl w:val="0"/>
      </w:pPr>
      <w:bookmarkStart w:id="7" w:name="_Toc45832545"/>
      <w:bookmarkStart w:id="8" w:name="_Toc51763825"/>
      <w:bookmarkStart w:id="9" w:name="_Toc64448995"/>
      <w:bookmarkStart w:id="10" w:name="_Toc66289654"/>
      <w:bookmarkStart w:id="11" w:name="_Toc74154767"/>
      <w:bookmarkStart w:id="12" w:name="_Toc81383511"/>
      <w:bookmarkStart w:id="13" w:name="_Toc88658144"/>
      <w:bookmarkStart w:id="14" w:name="_Toc97911056"/>
      <w:bookmarkStart w:id="15" w:name="_Toc99038816"/>
      <w:bookmarkStart w:id="16" w:name="_Toc99731079"/>
      <w:bookmarkStart w:id="17" w:name="_Toc105511210"/>
      <w:bookmarkStart w:id="18" w:name="_Toc105927742"/>
      <w:bookmarkStart w:id="19" w:name="_Toc106110282"/>
      <w:bookmarkStart w:id="20" w:name="_Toc113835719"/>
      <w:bookmarkStart w:id="21" w:name="_Toc120124567"/>
      <w:bookmarkStart w:id="22" w:name="_Toc175589321"/>
      <w:bookmarkStart w:id="23" w:name="_Toc20955289"/>
      <w:bookmarkStart w:id="24" w:name="_Toc29991486"/>
      <w:bookmarkStart w:id="25" w:name="_Toc36555886"/>
      <w:bookmarkStart w:id="26" w:name="_Toc44497608"/>
      <w:bookmarkStart w:id="27" w:name="_Toc45107996"/>
      <w:bookmarkStart w:id="28" w:name="_Toc45901616"/>
      <w:bookmarkStart w:id="29" w:name="_Toc51850695"/>
      <w:bookmarkStart w:id="30" w:name="_Toc56693698"/>
      <w:bookmarkStart w:id="31" w:name="_Toc64447241"/>
      <w:bookmarkStart w:id="32" w:name="_Toc66286735"/>
      <w:bookmarkStart w:id="33" w:name="_Toc74151430"/>
      <w:bookmarkStart w:id="34" w:name="_Toc88653903"/>
      <w:bookmarkStart w:id="35" w:name="_Toc97904259"/>
      <w:bookmarkStart w:id="36" w:name="_Toc98868346"/>
      <w:bookmarkStart w:id="37" w:name="_Toc105174631"/>
      <w:bookmarkStart w:id="38" w:name="_Toc106109468"/>
      <w:bookmarkStart w:id="39" w:name="_Toc113825289"/>
      <w:bookmarkStart w:id="40" w:name="_Toc170755903"/>
    </w:p>
    <w:p>
      <w:pPr>
        <w:pStyle w:val="3"/>
      </w:pPr>
      <w:bookmarkStart w:id="41" w:name="_Toc162963929"/>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t>7.3b.3</w:t>
      </w:r>
      <w:r>
        <w:tab/>
        <w:t>MO-EDT for User Plane CIoT EPS/5GS optimisations</w:t>
      </w:r>
      <w:bookmarkEnd w:id="41"/>
    </w:p>
    <w:p>
      <w:pPr>
        <w:rPr>
          <w:color w:val="FF0000"/>
          <w:lang w:eastAsia="zh-CN"/>
        </w:rPr>
      </w:pPr>
      <w:r>
        <w:rPr>
          <w:color w:val="FF0000"/>
          <w:lang w:eastAsia="zh-CN"/>
        </w:rPr>
        <w:t>--------</w:t>
      </w:r>
      <w:r>
        <w:rPr>
          <w:rFonts w:hint="eastAsia"/>
          <w:color w:val="FF0000"/>
          <w:lang w:eastAsia="zh-CN"/>
        </w:rPr>
        <w:t>&lt;</w:t>
      </w:r>
      <w:r>
        <w:rPr>
          <w:color w:val="FF0000"/>
          <w:lang w:eastAsia="zh-CN"/>
        </w:rPr>
        <w:t>Skip unchanged part&gt;----------------</w:t>
      </w:r>
    </w:p>
    <w:p>
      <w:pPr>
        <w:rPr>
          <w:lang w:eastAsia="zh-CN"/>
        </w:rPr>
      </w:pPr>
      <w:r>
        <w:rPr>
          <w:lang w:eastAsia="zh-CN"/>
        </w:rPr>
        <w:t>For MO-EDT</w:t>
      </w:r>
      <w:r>
        <w:t xml:space="preserve"> </w:t>
      </w:r>
      <w:r>
        <w:rPr>
          <w:lang w:eastAsia="zh-CN"/>
        </w:rPr>
        <w:t xml:space="preserve">for User Plane CIoT EPS Optimisation and User Plane CIoT 5GS Optimisation, an RRC connection can also be resumed in an (ng-)eNB (the new (ng-)eNB) different from the one where the connection was suspended (the old (ng-)eNB). Inter (ng-)eNB connection resumption is handled using context fetching, whereby the new (ng-)eNB retrieves the UE context from the old (ng-)eNB over the X2 (Xn) interface. The new (ng-)eNB provides the Resume ID for EPS or I-RNTI for 5GS which is used by the old (ng-)eNB to identify the UE context. This is illustrated in Figure 7.3b-3 and Figure 7.3b-3a for the case of User Plane CIoT EPS </w:t>
      </w:r>
      <w:r>
        <w:t xml:space="preserve">Optimisation and </w:t>
      </w:r>
      <w:r>
        <w:rPr>
          <w:lang w:eastAsia="zh-CN"/>
        </w:rPr>
        <w:t xml:space="preserve">for the case of User Plane CIoT 5GS </w:t>
      </w:r>
      <w:r>
        <w:t>Optimisation respectively</w:t>
      </w:r>
      <w:r>
        <w:rPr>
          <w:lang w:eastAsia="zh-CN"/>
        </w:rPr>
        <w:t>.</w:t>
      </w:r>
    </w:p>
    <w:p>
      <w:pPr>
        <w:pStyle w:val="TH"/>
      </w:pPr>
      <w:r>
        <w:object w:dxaOrig="10236" w:dyaOrig="72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42.55pt" o:ole="">
            <v:imagedata r:id="rId14" o:title=""/>
          </v:shape>
          <o:OLEObject Type="Embed" ProgID="Visio.Drawing.15" ShapeID="_x0000_i1025" DrawAspect="Content" ObjectID="_1807459665" r:id="rId15"/>
        </w:object>
      </w:r>
    </w:p>
    <w:p>
      <w:pPr>
        <w:pStyle w:val="TF"/>
      </w:pPr>
      <w:r>
        <w:t>Figure: 7.3b-3: MO-EDT for User Plane CIoT EPS Optimisations in different eNB</w:t>
      </w:r>
    </w:p>
    <w:p>
      <w:pPr>
        <w:pStyle w:val="TH"/>
      </w:pPr>
      <w:r>
        <w:object w:dxaOrig="10680" w:dyaOrig="7291">
          <v:shape id="_x0000_i1026" type="#_x0000_t75" style="width:480.5pt;height:329pt" o:ole="">
            <v:imagedata r:id="rId16" o:title=""/>
          </v:shape>
          <o:OLEObject Type="Embed" ProgID="Visio.Drawing.15" ShapeID="_x0000_i1026" DrawAspect="Content" ObjectID="_1807459666" r:id="rId17"/>
        </w:object>
      </w:r>
    </w:p>
    <w:p>
      <w:pPr>
        <w:pStyle w:val="TF"/>
      </w:pPr>
      <w:r>
        <w:t>Figure: 7.3b-3a: MO-EDT for User Plane CIoT 5GS Optimisation in different ng-eNB</w:t>
      </w:r>
    </w:p>
    <w:p>
      <w:pPr>
        <w:pStyle w:val="B1"/>
      </w:pPr>
      <w:r>
        <w:t>1.</w:t>
      </w:r>
      <w:r>
        <w:tab/>
        <w:t>Same as step 1 in the intra (ng-)eNB connection resumption.</w:t>
      </w:r>
    </w:p>
    <w:p>
      <w:pPr>
        <w:pStyle w:val="B1"/>
      </w:pPr>
      <w:r>
        <w:t>2.</w:t>
      </w:r>
      <w:r>
        <w:tab/>
        <w:t>The new (ng-)eNB locates the old (ng-)eNB using the Resume ID (for EPS) or I-RNTI (for 5GS) and retrieves the UE context by means of the X2-AP (for EPS) or Xn-AP (for 5GS) Retrieve</w:t>
      </w:r>
      <w:r>
        <w:rPr>
          <w:lang w:eastAsia="zh-TW"/>
        </w:rPr>
        <w:t xml:space="preserve"> UE</w:t>
      </w:r>
      <w:r>
        <w:t xml:space="preserve"> Context procedure.</w:t>
      </w:r>
    </w:p>
    <w:p>
      <w:pPr>
        <w:pStyle w:val="B1"/>
      </w:pPr>
      <w:r>
        <w:t>3.</w:t>
      </w:r>
      <w:r>
        <w:tab/>
        <w:t>The old (ng-)eNB responds with the UE context associated with the Resume ID (for EPS) or I-RNTI (for 5GS).</w:t>
      </w:r>
    </w:p>
    <w:p>
      <w:pPr>
        <w:pStyle w:val="NO"/>
        <w:overflowPunct w:val="0"/>
        <w:autoSpaceDE w:val="0"/>
        <w:autoSpaceDN w:val="0"/>
        <w:adjustRightInd w:val="0"/>
        <w:textAlignment w:val="baseline"/>
        <w:rPr>
          <w:lang w:eastAsia="zh-CN"/>
        </w:rPr>
      </w:pPr>
      <w:ins w:id="42" w:author="ZTE" w:date="2025-03-18T16:05:00Z">
        <w:r>
          <w:rPr>
            <w:rFonts w:hint="eastAsia"/>
          </w:rPr>
          <w:t>N</w:t>
        </w:r>
        <w:r>
          <w:t>OTE</w:t>
        </w:r>
        <w:r>
          <w:rPr>
            <w:lang w:eastAsia="zh-CN"/>
          </w:rPr>
          <w:t xml:space="preserve"> 1:</w:t>
        </w:r>
      </w:ins>
      <w:r>
        <w:rPr>
          <w:lang w:eastAsia="zh-CN"/>
        </w:rPr>
        <w:t xml:space="preserve"> </w:t>
      </w:r>
      <w:ins w:id="43" w:author="ZTE" w:date="2025-03-18T16:05:00Z">
        <w:r>
          <w:t xml:space="preserve">The new </w:t>
        </w:r>
      </w:ins>
      <w:ins w:id="44" w:author="ZTE" w:date="2025-03-18T17:14:00Z">
        <w:r>
          <w:t>e</w:t>
        </w:r>
      </w:ins>
      <w:ins w:id="45" w:author="ZTE" w:date="2025-03-18T16:05:00Z">
        <w:r>
          <w:t>NB may send X2: DATA FORWARDING ADDRESS INDICATION message</w:t>
        </w:r>
      </w:ins>
      <w:ins w:id="46" w:author="ZTE" w:date="2025-04-09T14:52:00Z">
        <w:r>
          <w:t xml:space="preserve"> </w:t>
        </w:r>
      </w:ins>
      <w:ins w:id="47" w:author="ZTE" w:date="2025-04-09T14:53:00Z">
        <w:r>
          <w:t xml:space="preserve">to the old eNB to provide DL data forwarding address </w:t>
        </w:r>
      </w:ins>
      <w:ins w:id="48" w:author="ZTE" w:date="2025-04-09T14:52:00Z">
        <w:r>
          <w:t xml:space="preserve">and </w:t>
        </w:r>
      </w:ins>
      <w:ins w:id="49" w:author="ZTE" w:date="2025-04-09T14:54:00Z">
        <w:r>
          <w:t>t</w:t>
        </w:r>
      </w:ins>
      <w:ins w:id="50" w:author="ZTE" w:date="2025-04-09T14:53:00Z">
        <w:r>
          <w:t xml:space="preserve">he new ng-eNB may send </w:t>
        </w:r>
      </w:ins>
      <w:ins w:id="51" w:author="ZTE" w:date="2025-04-09T14:54:00Z">
        <w:r>
          <w:t>Xn: Xn-U ADDRESS INDICATION message</w:t>
        </w:r>
      </w:ins>
      <w:ins w:id="52" w:author="ZTE" w:date="2025-04-09T14:53:00Z">
        <w:r>
          <w:t xml:space="preserve"> to the old </w:t>
        </w:r>
      </w:ins>
      <w:ins w:id="53" w:author="ZTE" w:date="2025-04-09T14:54:00Z">
        <w:r>
          <w:t>ng-</w:t>
        </w:r>
      </w:ins>
      <w:ins w:id="54" w:author="ZTE" w:date="2025-04-09T14:53:00Z">
        <w:r>
          <w:t>eNB to provide DL data forwarding address</w:t>
        </w:r>
      </w:ins>
    </w:p>
    <w:p>
      <w:pPr>
        <w:pStyle w:val="B1"/>
      </w:pPr>
      <w:r>
        <w:t>4.</w:t>
      </w:r>
      <w:r>
        <w:tab/>
        <w:t>For EPS, the new eNB initiates the S1-AP Path Switch procedure to establish a S1 UE associated signalling connection to the serving MME and to request the MME to resume the UE context. For 5GS, the new ng-eNB initiates the NG-AP Path Switch procedure to establish a NG UE associated signalling connection to the serving AMF and to request the AMF to resume the UE context.</w:t>
      </w:r>
    </w:p>
    <w:p>
      <w:pPr>
        <w:pStyle w:val="B1"/>
      </w:pPr>
      <w:r>
        <w:t>5.</w:t>
      </w:r>
      <w:r>
        <w:tab/>
        <w:t>For EPS, the MME requests the S-GW to activate the S1-U bearers for the UE and updates the downlink path. For 5GS, the AMF requests requests the SMF to resume the PDU session and the SMF requests the UPF to create the tunnel information for the UE and update the downlink path.</w:t>
      </w:r>
    </w:p>
    <w:p>
      <w:pPr>
        <w:pStyle w:val="B1"/>
      </w:pPr>
      <w:r>
        <w:t>6.</w:t>
      </w:r>
      <w:r>
        <w:tab/>
        <w:t>MME/AMF Acks step 5.</w:t>
      </w:r>
    </w:p>
    <w:p>
      <w:pPr>
        <w:pStyle w:val="B1"/>
      </w:pPr>
      <w:r>
        <w:t>7.</w:t>
      </w:r>
      <w:r>
        <w:tab/>
        <w:t>For EPS, after the S1-AP Path Switch procedure the new eNB triggers release of the UE context at the old eNB by means of the X2-AP UE Context Release procedure. For 5GS, after the NG-AP Path Switch procedure the new ng-eNB triggers release of the UE context at the old ng-eNB by means of the Xn-AP UE Context Release procedure.</w:t>
      </w:r>
    </w:p>
    <w:p>
      <w:pPr>
        <w:pStyle w:val="B1"/>
      </w:pPr>
      <w:r>
        <w:t>8.</w:t>
      </w:r>
      <w:r>
        <w:tab/>
        <w:t xml:space="preserve">For EPS, same as step 5 in the intra eNB connection resumption. For 5GS, the uplink data are delivered to the UPF. </w:t>
      </w:r>
    </w:p>
    <w:p>
      <w:pPr>
        <w:pStyle w:val="B1"/>
        <w:rPr>
          <w:lang w:eastAsia="zh-CN"/>
        </w:rPr>
      </w:pPr>
      <w:r>
        <w:t>9.</w:t>
      </w:r>
      <w:r>
        <w:tab/>
        <w:t>Same as step 6 in the intra (ng-)eNB connection resumption.</w:t>
      </w:r>
    </w:p>
    <w:p>
      <w:pPr>
        <w:pStyle w:val="NO"/>
        <w:overflowPunct w:val="0"/>
        <w:autoSpaceDE w:val="0"/>
        <w:autoSpaceDN w:val="0"/>
        <w:adjustRightInd w:val="0"/>
        <w:textAlignment w:val="baseline"/>
      </w:pPr>
      <w:ins w:id="55" w:author="ZTE" w:date="2025-03-18T16:06:00Z">
        <w:r>
          <w:lastRenderedPageBreak/>
          <w:t>NOTE 2:</w:t>
        </w:r>
        <w:r>
          <w:tab/>
          <w:t>The step 8 (i.e., uplink data transmission) may be performed after step 3 and before step 4 (i.e., Path Switch procedure), and in such case, if applicable, the step 9 (i.e., downlink data transmission) can be ahead of step 4</w:t>
        </w:r>
      </w:ins>
      <w:ins w:id="56" w:author="ZTE" w:date="2025-03-18T16:07:00Z">
        <w:r>
          <w:t xml:space="preserve"> </w:t>
        </w:r>
      </w:ins>
      <w:ins w:id="57" w:author="ZTE" w:date="2025-03-18T16:06:00Z">
        <w:r>
          <w:t xml:space="preserve">as well. </w:t>
        </w:r>
      </w:ins>
    </w:p>
    <w:p>
      <w:pPr>
        <w:pStyle w:val="B1"/>
      </w:pPr>
      <w:r>
        <w:t>10.</w:t>
      </w:r>
      <w:r>
        <w:tab/>
        <w:t>Same as step 7 in the intra (ng-)eNB connection resumption.</w:t>
      </w:r>
    </w:p>
    <w:p>
      <w:pPr>
        <w:pStyle w:val="B1"/>
      </w:pPr>
      <w:r>
        <w:t>11.</w:t>
      </w:r>
      <w:r>
        <w:tab/>
        <w:t>Same as step 8 in the intra (ng-)eNB connection resumption.</w:t>
      </w:r>
    </w:p>
    <w:p/>
    <w:p>
      <w:r>
        <w:rPr>
          <w:color w:val="FF0000"/>
        </w:rPr>
        <w:t>////////////////////////////////////////////////////////////// End of change /////////////////////////////////////////////////////////////////////</w:t>
      </w:r>
    </w:p>
    <w:sectPr>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pPr>
      <w:r>
        <w:separator/>
      </w:r>
    </w:p>
  </w:endnote>
  <w:endnote w:type="continuationSeparator" w:id="0">
    <w:p>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LineDraw">
    <w:altName w:val="Courier New"/>
    <w:charset w:val="02"/>
    <w:family w:val="modern"/>
    <w:pitch w:val="fixed"/>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pPr>
      <w:r>
        <w:separator/>
      </w:r>
    </w:p>
  </w:footnote>
  <w:footnote w:type="continuationSeparator" w:id="0">
    <w:p>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7D78D1E"/>
    <w:multiLevelType w:val="singleLevel"/>
    <w:tmpl w:val="D7D78D1E"/>
    <w:lvl w:ilvl="0">
      <w:start w:val="1"/>
      <w:numFmt w:val="bullet"/>
      <w:lvlText w:val=""/>
      <w:lvlJc w:val="left"/>
      <w:pPr>
        <w:ind w:left="420" w:hanging="420"/>
      </w:pPr>
      <w:rPr>
        <w:rFonts w:ascii="Wingdings" w:hAnsi="Wingdings" w:hint="default"/>
      </w:rPr>
    </w:lvl>
  </w:abstractNum>
  <w:abstractNum w:abstractNumId="1" w15:restartNumberingAfterBreak="0">
    <w:nsid w:val="E0422D7F"/>
    <w:multiLevelType w:val="singleLevel"/>
    <w:tmpl w:val="E0422D7F"/>
    <w:lvl w:ilvl="0">
      <w:start w:val="1"/>
      <w:numFmt w:val="bullet"/>
      <w:lvlText w:val=""/>
      <w:lvlJc w:val="left"/>
      <w:pPr>
        <w:ind w:left="420" w:hanging="420"/>
      </w:pPr>
      <w:rPr>
        <w:rFonts w:ascii="Wingdings" w:hAnsi="Wingdings" w:hint="default"/>
      </w:rPr>
    </w:lvl>
  </w:abstractNum>
  <w:abstractNum w:abstractNumId="2" w15:restartNumberingAfterBreak="0">
    <w:nsid w:val="69202E09"/>
    <w:multiLevelType w:val="hybridMultilevel"/>
    <w:tmpl w:val="926805A8"/>
    <w:lvl w:ilvl="0" w:tplc="5BE605CA">
      <w:start w:val="1"/>
      <w:numFmt w:val="lowerLetter"/>
      <w:lvlText w:val="%1)"/>
      <w:lvlJc w:val="left"/>
      <w:pPr>
        <w:ind w:left="2159" w:hanging="54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0"/>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9EFCDB7-236E-4796-A8E3-D317D3AD5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Document Map"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semiHidden/>
    <w:qFormat/>
  </w:style>
  <w:style w:type="paragraph" w:styleId="a8">
    <w:name w:val="Plain Text"/>
    <w:basedOn w:val="a"/>
    <w:link w:val="Char0"/>
    <w:uiPriority w:val="99"/>
    <w:rPr>
      <w:rFonts w:ascii="Courier New" w:eastAsia="MS Mincho" w:hAnsi="Courier New"/>
      <w:lang w:val="nb-NO" w:eastAsia="zh-CN"/>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1"/>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table" w:styleId="ae">
    <w:name w:val="Table Grid"/>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qFormat/>
  </w:style>
  <w:style w:type="character" w:styleId="af0">
    <w:name w:val="FollowedHyperlink"/>
    <w:rPr>
      <w:color w:val="800080"/>
      <w:u w:val="single"/>
    </w:rPr>
  </w:style>
  <w:style w:type="character" w:styleId="af1">
    <w:name w:val="Emphasis"/>
    <w:uiPriority w:val="20"/>
    <w:qFormat/>
    <w:rPr>
      <w:i/>
      <w:iCs/>
    </w:rPr>
  </w:style>
  <w:style w:type="character" w:styleId="af2">
    <w:name w:val="Hyperlink"/>
    <w:qFormat/>
    <w:rPr>
      <w:color w:val="0000FF"/>
      <w:u w:val="single"/>
    </w:rPr>
  </w:style>
  <w:style w:type="character" w:styleId="af3">
    <w:name w:val="annotation reference"/>
    <w:semiHidden/>
    <w:qFormat/>
    <w:rPr>
      <w:sz w:val="16"/>
    </w:rPr>
  </w:style>
  <w:style w:type="character" w:styleId="af4">
    <w:name w:val="footnote reference"/>
    <w:qFormat/>
    <w:rPr>
      <w:b/>
      <w:position w:val="6"/>
      <w:sz w:val="16"/>
    </w:rPr>
  </w:style>
  <w:style w:type="character" w:customStyle="1" w:styleId="Char1">
    <w:name w:val="批注框文本 Char"/>
    <w:basedOn w:val="a0"/>
    <w:link w:val="a9"/>
    <w:semiHidden/>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NOChar">
    <w:name w:val="NO Char"/>
    <w:link w:val="NO"/>
    <w:qFormat/>
    <w:rPr>
      <w:rFonts w:ascii="Times New Roman" w:hAnsi="Times New Roman"/>
      <w:lang w:val="en-GB" w:eastAsia="en-US"/>
    </w:rPr>
  </w:style>
  <w:style w:type="paragraph" w:styleId="af5">
    <w:name w:val="No Spacing"/>
    <w:basedOn w:val="a"/>
    <w:uiPriority w:val="99"/>
    <w:qFormat/>
    <w:pPr>
      <w:overflowPunct w:val="0"/>
      <w:autoSpaceDE w:val="0"/>
      <w:autoSpaceDN w:val="0"/>
      <w:adjustRightInd w:val="0"/>
      <w:spacing w:beforeAutospacing="1" w:after="0"/>
      <w:textAlignment w:val="baseline"/>
    </w:pPr>
    <w:rPr>
      <w:rFonts w:eastAsia="Calibri"/>
      <w:sz w:val="24"/>
      <w:szCs w:val="24"/>
      <w:lang w:eastAsia="zh-CN"/>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
    <w:name w:val="B1 Char"/>
    <w:link w:val="B1"/>
    <w:qFormat/>
    <w:rPr>
      <w:rFonts w:ascii="Times New Roman" w:hAnsi="Times New Roman"/>
      <w:lang w:val="en-GB" w:eastAsia="en-US"/>
    </w:rPr>
  </w:style>
  <w:style w:type="character" w:customStyle="1" w:styleId="3Char">
    <w:name w:val="标题 3 Char"/>
    <w:link w:val="3"/>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THChar">
    <w:name w:val="TH Char"/>
    <w:link w:val="TH"/>
    <w:qFormat/>
    <w:rPr>
      <w:rFonts w:ascii="Arial" w:hAnsi="Arial"/>
      <w:b/>
      <w:lang w:val="en-GB" w:eastAsia="en-US"/>
    </w:rPr>
  </w:style>
  <w:style w:type="character" w:customStyle="1" w:styleId="1Char">
    <w:name w:val="标题 1 Char"/>
    <w:link w:val="1"/>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5Char">
    <w:name w:val="标题 5 Char"/>
    <w:link w:val="5"/>
    <w:qFormat/>
    <w:rPr>
      <w:rFonts w:ascii="Arial" w:hAnsi="Arial"/>
      <w:sz w:val="22"/>
      <w:lang w:val="en-GB" w:eastAsia="en-US"/>
    </w:rPr>
  </w:style>
  <w:style w:type="character" w:customStyle="1" w:styleId="8Char">
    <w:name w:val="标题 8 Char"/>
    <w:link w:val="8"/>
    <w:rPr>
      <w:rFonts w:ascii="Arial" w:hAnsi="Arial"/>
      <w:sz w:val="36"/>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har">
    <w:name w:val="文档结构图 Char"/>
    <w:link w:val="a6"/>
    <w:qFormat/>
    <w:rPr>
      <w:rFonts w:ascii="Tahoma" w:hAnsi="Tahoma" w:cs="Tahoma"/>
      <w:shd w:val="clear" w:color="auto" w:fill="000080"/>
      <w:lang w:val="en-GB" w:eastAsia="en-US"/>
    </w:rPr>
  </w:style>
  <w:style w:type="character" w:customStyle="1" w:styleId="Char0">
    <w:name w:val="纯文本 Char"/>
    <w:basedOn w:val="a0"/>
    <w:link w:val="a8"/>
    <w:uiPriority w:val="99"/>
    <w:rPr>
      <w:rFonts w:ascii="Courier New" w:eastAsia="MS Mincho" w:hAnsi="Courier New"/>
      <w:lang w:val="nb-NO" w:eastAsia="zh-CN"/>
    </w:rPr>
  </w:style>
  <w:style w:type="paragraph" w:customStyle="1" w:styleId="TAJ">
    <w:name w:val="TAJ"/>
    <w:basedOn w:val="TH"/>
    <w:qFormat/>
    <w:rPr>
      <w:rFonts w:eastAsia="MS Mincho"/>
      <w:lang w:eastAsia="zh-CN"/>
    </w:rPr>
  </w:style>
  <w:style w:type="paragraph" w:customStyle="1" w:styleId="BalloonText1">
    <w:name w:val="Balloon Text1"/>
    <w:basedOn w:val="a"/>
    <w:semiHidden/>
    <w:qFormat/>
    <w:rPr>
      <w:rFonts w:ascii="Tahoma" w:eastAsia="MS Mincho" w:hAnsi="Tahoma" w:cs="Tahoma"/>
      <w:sz w:val="16"/>
      <w:szCs w:val="16"/>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paragraph" w:customStyle="1" w:styleId="CommentSubject1">
    <w:name w:val="Comment Subject1"/>
    <w:basedOn w:val="a"/>
    <w:next w:val="a"/>
    <w:semiHidden/>
    <w:qFormat/>
    <w:rPr>
      <w:rFonts w:eastAsia="MS Mincho"/>
      <w:b/>
      <w:bCs/>
      <w:lang w:eastAsia="ko-KR"/>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alloonText2">
    <w:name w:val="Balloon Text2"/>
    <w:basedOn w:val="a"/>
    <w:semiHidden/>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MTDisplayEquation">
    <w:name w:val="MTDisplayEquation"/>
    <w:basedOn w:val="a"/>
    <w:qFormat/>
    <w:pPr>
      <w:tabs>
        <w:tab w:val="center" w:pos="4820"/>
        <w:tab w:val="right" w:pos="9640"/>
      </w:tabs>
    </w:pPr>
    <w:rPr>
      <w:rFonts w:eastAsia="Times New Roman"/>
      <w:lang w:val="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9Char">
    <w:name w:val="标题 9 Char"/>
    <w:link w:val="9"/>
    <w:qFormat/>
    <w:rPr>
      <w:rFonts w:ascii="Arial" w:hAnsi="Arial"/>
      <w:sz w:val="36"/>
      <w:lang w:val="en-GB" w:eastAsia="en-US"/>
    </w:rPr>
  </w:style>
  <w:style w:type="character" w:customStyle="1" w:styleId="Mention1">
    <w:name w:val="Mention1"/>
    <w:uiPriority w:val="99"/>
    <w:semiHidden/>
    <w:unhideWhenUsed/>
    <w:qFormat/>
    <w:rPr>
      <w:color w:val="2B579A"/>
      <w:shd w:val="clear" w:color="auto" w:fill="E6E6E6"/>
    </w:rPr>
  </w:style>
  <w:style w:type="character" w:customStyle="1" w:styleId="3Char1">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宋体" w:hAnsi="Cambria" w:cs="Times New Roman"/>
      <w:b/>
      <w:bCs/>
      <w:sz w:val="28"/>
      <w:szCs w:val="28"/>
      <w:lang w:val="en-GB" w:eastAsia="ko-KR"/>
    </w:rPr>
  </w:style>
  <w:style w:type="character" w:customStyle="1" w:styleId="Char10">
    <w:name w:val="页眉 Char1"/>
    <w:semiHidden/>
    <w:qFormat/>
    <w:rPr>
      <w:rFonts w:ascii="Times New Roman" w:eastAsia="Times New Roman" w:hAnsi="Times New Roman"/>
      <w:sz w:val="18"/>
      <w:szCs w:val="18"/>
      <w:lang w:val="en-GB" w:eastAsia="ko-KR"/>
    </w:rPr>
  </w:style>
  <w:style w:type="character" w:customStyle="1" w:styleId="ui-provider">
    <w:name w:val="ui-provider"/>
    <w:basedOn w:val="a0"/>
    <w:qFormat/>
  </w:style>
  <w:style w:type="character" w:customStyle="1" w:styleId="TALCar">
    <w:name w:val="TAL Car"/>
    <w:qFormat/>
    <w:rPr>
      <w:rFonts w:ascii="Arial" w:hAnsi="Arial"/>
      <w:sz w:val="18"/>
      <w:lang w:val="en-GB" w:eastAsia="en-US"/>
    </w:rPr>
  </w:style>
  <w:style w:type="paragraph" w:styleId="af6">
    <w:name w:val="Revision"/>
    <w:hidden/>
    <w:uiPriority w:val="99"/>
    <w:unhideWhenUsed/>
    <w:rPr>
      <w:rFonts w:ascii="Times New Roman" w:hAnsi="Times New Roman"/>
      <w:lang w:val="en-GB" w:eastAsia="en-US"/>
    </w:rPr>
  </w:style>
  <w:style w:type="paragraph" w:customStyle="1" w:styleId="3gpptitlecitytdocnumber">
    <w:name w:val="3gpp title (city + tdoc number)"/>
    <w:basedOn w:val="ab"/>
    <w:qFormat/>
    <w:pPr>
      <w:tabs>
        <w:tab w:val="right" w:pos="9923"/>
      </w:tabs>
      <w:ind w:right="-7"/>
    </w:pPr>
    <w:rPr>
      <w:rFonts w:eastAsia="Times New Roman" w:cs="Arial"/>
      <w:bCs/>
      <w:sz w:val="24"/>
    </w:rPr>
  </w:style>
  <w:style w:type="character" w:customStyle="1" w:styleId="TAHCar">
    <w:name w:val="TAH Car"/>
    <w:qFormat/>
    <w:locked/>
    <w:rPr>
      <w:rFonts w:ascii="Arial" w:eastAsia="Times New Roman" w:hAnsi="Arial"/>
      <w:b/>
      <w:sz w:val="18"/>
      <w:lang w:val="en-GB" w:eastAsia="ja-JP"/>
    </w:rPr>
  </w:style>
  <w:style w:type="paragraph" w:customStyle="1" w:styleId="Agreement">
    <w:name w:val="Agreement"/>
    <w:basedOn w:val="a"/>
    <w:next w:val="a"/>
    <w:uiPriority w:val="99"/>
    <w:qFormat/>
    <w:pPr>
      <w:numPr>
        <w:numId w:val="4"/>
      </w:numPr>
      <w:spacing w:before="60" w:after="0"/>
    </w:pPr>
    <w:rPr>
      <w:rFonts w:ascii="Arial" w:eastAsia="MS Mincho" w:hAnsi="Arial"/>
      <w:b/>
      <w:szCs w:val="24"/>
      <w:lang w:eastAsia="en-GB"/>
    </w:rPr>
  </w:style>
  <w:style w:type="paragraph" w:customStyle="1" w:styleId="Review-comment">
    <w:name w:val="Review-comment"/>
    <w:basedOn w:val="a"/>
    <w:qFormat/>
    <w:pPr>
      <w:tabs>
        <w:tab w:val="left" w:pos="1622"/>
      </w:tabs>
      <w:spacing w:after="0"/>
      <w:ind w:left="1622" w:hanging="363"/>
    </w:pPr>
    <w:rPr>
      <w:rFonts w:ascii="Arial" w:eastAsia="MS Mincho" w:hAnsi="Arial"/>
      <w:color w:val="C00000"/>
      <w:sz w:val="18"/>
      <w:szCs w:val="24"/>
      <w:lang w:eastAsia="en-GB"/>
    </w:rPr>
  </w:style>
  <w:style w:type="character" w:customStyle="1" w:styleId="TFZchn">
    <w:name w:val="TF Zchn"/>
    <w:qFormat/>
    <w:rPr>
      <w:rFonts w:ascii="Arial" w:hAnsi="Arial"/>
      <w:b/>
      <w:lang w:val="en-GB" w:eastAsia="en-US"/>
    </w:rPr>
  </w:style>
  <w:style w:type="character" w:customStyle="1" w:styleId="B1Zchn">
    <w:name w:val="B1 Zchn"/>
    <w:qFormat/>
    <w:rPr>
      <w:rFonts w:ascii="Times New Roman" w:hAnsi="Times New Roman"/>
      <w:lang w:val="en-GB" w:eastAsia="en-US"/>
    </w:rPr>
  </w:style>
  <w:style w:type="character" w:customStyle="1" w:styleId="NOZchn">
    <w:name w:val="NO Zchn"/>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79451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Drawing1.vsdx"/><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E729FCC-0BDB-4A3F-A2DB-8B9FDDD784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892</Words>
  <Characters>5088</Characters>
  <Application>Microsoft Office Word</Application>
  <DocSecurity>0</DocSecurity>
  <Lines>42</Lines>
  <Paragraphs>11</Paragraphs>
  <ScaleCrop>false</ScaleCrop>
  <Company>3GPP Support Team</Company>
  <LinksUpToDate>false</LinksUpToDate>
  <CharactersWithSpaces>5969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3</cp:revision>
  <cp:lastPrinted>2411-12-31T15:59:00Z</cp:lastPrinted>
  <dcterms:created xsi:type="dcterms:W3CDTF">2025-04-29T10:54:00Z</dcterms:created>
  <dcterms:modified xsi:type="dcterms:W3CDTF">2025-04-29T11:21:00Z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